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0B415440" w:rsidR="0066434B" w:rsidRPr="00214458" w:rsidRDefault="0066434B" w:rsidP="00513BAC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7D392F">
        <w:rPr>
          <w:rFonts w:ascii="Arial" w:hAnsi="Arial" w:cs="Arial"/>
          <w:b/>
          <w:bCs/>
          <w:sz w:val="22"/>
        </w:rPr>
        <w:t>80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</w:t>
      </w:r>
      <w:r w:rsidR="00513BAC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7D392F">
        <w:rPr>
          <w:rFonts w:ascii="Arial" w:hAnsi="Arial" w:cs="Arial"/>
          <w:b/>
          <w:bCs/>
          <w:sz w:val="22"/>
        </w:rPr>
        <w:t>80677</w:t>
      </w:r>
    </w:p>
    <w:p w14:paraId="0351D878" w14:textId="0BC3FF38" w:rsidR="0066434B" w:rsidRPr="00D35A73" w:rsidRDefault="00513BAC" w:rsidP="00513BAC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L</w:t>
      </w:r>
      <w:r w:rsidR="007D392F">
        <w:rPr>
          <w:rFonts w:ascii="Arial" w:eastAsia="MS Mincho" w:hAnsi="Arial" w:cs="Arial"/>
          <w:b/>
          <w:bCs/>
          <w:sz w:val="22"/>
        </w:rPr>
        <w:t>a Jolla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 w:rsidR="007D392F">
        <w:rPr>
          <w:rFonts w:ascii="Arial" w:eastAsia="MS Mincho" w:hAnsi="Arial" w:cs="Arial"/>
          <w:b/>
          <w:bCs/>
          <w:sz w:val="22"/>
        </w:rPr>
        <w:t>CA, U.S.A.</w:t>
      </w:r>
      <w:r w:rsidR="001E08A2">
        <w:rPr>
          <w:rFonts w:ascii="Arial" w:eastAsia="MS Mincho" w:hAnsi="Arial" w:cs="Arial"/>
          <w:b/>
          <w:bCs/>
          <w:sz w:val="22"/>
        </w:rPr>
        <w:t xml:space="preserve">, </w:t>
      </w:r>
      <w:r w:rsidR="007D392F">
        <w:rPr>
          <w:rFonts w:ascii="Arial" w:hAnsi="Arial" w:cs="Arial"/>
          <w:b/>
          <w:bCs/>
          <w:sz w:val="22"/>
        </w:rPr>
        <w:t>June</w:t>
      </w:r>
      <w:r w:rsidR="001E08A2">
        <w:rPr>
          <w:rFonts w:ascii="Arial" w:hAnsi="Arial" w:cs="Arial"/>
          <w:b/>
          <w:bCs/>
          <w:sz w:val="22"/>
        </w:rPr>
        <w:t xml:space="preserve"> </w:t>
      </w:r>
      <w:r w:rsidR="007D392F">
        <w:rPr>
          <w:rFonts w:ascii="Arial" w:hAnsi="Arial" w:cs="Arial"/>
          <w:b/>
          <w:bCs/>
          <w:sz w:val="22"/>
        </w:rPr>
        <w:t>1</w:t>
      </w:r>
      <w:r w:rsidR="001E08A2">
        <w:rPr>
          <w:rFonts w:ascii="Arial" w:hAnsi="Arial" w:cs="Arial"/>
          <w:b/>
          <w:bCs/>
          <w:sz w:val="22"/>
        </w:rPr>
        <w:t>1</w:t>
      </w:r>
      <w:r w:rsidR="00724625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>-</w:t>
      </w:r>
      <w:r w:rsidR="007D392F">
        <w:rPr>
          <w:rFonts w:ascii="Arial" w:hAnsi="Arial" w:cs="Arial"/>
          <w:b/>
          <w:bCs/>
          <w:sz w:val="22"/>
        </w:rPr>
        <w:t>14</w:t>
      </w:r>
      <w:r w:rsidR="001E08A2" w:rsidRPr="001E08A2">
        <w:rPr>
          <w:rFonts w:ascii="Arial" w:hAnsi="Arial" w:cs="Arial"/>
          <w:b/>
          <w:bCs/>
          <w:sz w:val="22"/>
          <w:vertAlign w:val="superscript"/>
        </w:rPr>
        <w:t>t</w:t>
      </w:r>
      <w:r w:rsidR="00724625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, </w:t>
      </w:r>
      <w:r w:rsidR="0066434B" w:rsidRPr="00214458">
        <w:rPr>
          <w:rFonts w:ascii="Arial" w:hAnsi="Arial" w:cs="Arial"/>
          <w:b/>
          <w:bCs/>
          <w:sz w:val="22"/>
        </w:rPr>
        <w:t>201</w:t>
      </w:r>
      <w:r w:rsidR="007D392F">
        <w:rPr>
          <w:rFonts w:ascii="Arial" w:eastAsia="MS Mincho" w:hAnsi="Arial" w:cs="Arial"/>
          <w:b/>
          <w:bCs/>
          <w:sz w:val="22"/>
        </w:rPr>
        <w:t>8</w:t>
      </w:r>
      <w:r w:rsidR="00D35A73">
        <w:rPr>
          <w:rFonts w:ascii="Arial" w:eastAsia="MS Mincho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6297BB20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513BAC">
        <w:rPr>
          <w:rFonts w:ascii="Arial" w:hAnsi="Arial"/>
          <w:sz w:val="22"/>
        </w:rPr>
        <w:t>9.</w:t>
      </w:r>
      <w:r w:rsidR="00724625">
        <w:rPr>
          <w:rFonts w:ascii="Arial" w:hAnsi="Arial"/>
          <w:sz w:val="22"/>
        </w:rPr>
        <w:t>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7A983D2C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7D392F" w:rsidRPr="007D392F">
        <w:rPr>
          <w:rFonts w:ascii="Arial" w:hAnsi="Arial"/>
          <w:sz w:val="22"/>
        </w:rPr>
        <w:t>Dynamic TDD as a UE feature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6E78452F" w:rsidR="00111D48" w:rsidRPr="00082D56" w:rsidRDefault="008C233A" w:rsidP="003B3667">
      <w:pPr>
        <w:pStyle w:val="Heading1"/>
        <w:rPr>
          <w:lang w:eastAsia="zh-CN"/>
        </w:rPr>
      </w:pPr>
      <w:r>
        <w:t>Introduction</w:t>
      </w:r>
    </w:p>
    <w:p w14:paraId="50047757" w14:textId="6ECADE3B" w:rsidR="003D23CF" w:rsidRDefault="003D23CF" w:rsidP="00FD71D4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</w:t>
      </w:r>
      <w:r w:rsidR="00DE1AB8">
        <w:rPr>
          <w:rFonts w:eastAsia="MS Mincho"/>
          <w:lang w:val="en-US"/>
        </w:rPr>
        <w:t>RAN1</w:t>
      </w:r>
      <w:r w:rsidR="00445F9C">
        <w:rPr>
          <w:rFonts w:eastAsia="MS Mincho"/>
          <w:lang w:val="en-US"/>
        </w:rPr>
        <w:t xml:space="preserve"> #93</w:t>
      </w:r>
      <w:r w:rsidR="00DE1AB8">
        <w:rPr>
          <w:rFonts w:eastAsia="MS Mincho"/>
          <w:lang w:val="en-US"/>
        </w:rPr>
        <w:t xml:space="preserve">, </w:t>
      </w:r>
      <w:proofErr w:type="gramStart"/>
      <w:r w:rsidR="00DE1AB8">
        <w:rPr>
          <w:rFonts w:eastAsia="MS Mincho"/>
          <w:lang w:val="en-US"/>
        </w:rPr>
        <w:t>an</w:t>
      </w:r>
      <w:proofErr w:type="gramEnd"/>
      <w:r w:rsidR="00DE1AB8">
        <w:rPr>
          <w:rFonts w:eastAsia="MS Mincho"/>
          <w:lang w:val="en-US"/>
        </w:rPr>
        <w:t xml:space="preserve"> LS [</w:t>
      </w:r>
      <w:r w:rsidR="00C018AB">
        <w:rPr>
          <w:rFonts w:eastAsia="MS Mincho"/>
          <w:lang w:val="en-US"/>
        </w:rPr>
        <w:t>3</w:t>
      </w:r>
      <w:r w:rsidR="00DE1AB8">
        <w:rPr>
          <w:rFonts w:eastAsia="MS Mincho"/>
          <w:lang w:val="en-US"/>
        </w:rPr>
        <w:t xml:space="preserve">] was approved on UE features. One of the remaining issues was highlighted </w:t>
      </w:r>
      <w:r w:rsidR="00DC55E9">
        <w:rPr>
          <w:rFonts w:eastAsia="MS Mincho"/>
          <w:lang w:val="en-US"/>
        </w:rPr>
        <w:t xml:space="preserve">in the LS </w:t>
      </w:r>
      <w:r w:rsidR="00DE1AB8">
        <w:rPr>
          <w:rFonts w:eastAsia="MS Mincho"/>
          <w:lang w:val="en-US"/>
        </w:rPr>
        <w:t xml:space="preserve">and a decision at the Plenary was requested. </w:t>
      </w:r>
      <w:r>
        <w:rPr>
          <w:rFonts w:eastAsia="MS Mincho"/>
          <w:lang w:val="en-US"/>
        </w:rPr>
        <w:t xml:space="preserve">The </w:t>
      </w:r>
      <w:r w:rsidR="00DE1AB8">
        <w:rPr>
          <w:rFonts w:eastAsia="MS Mincho"/>
          <w:lang w:val="en-US"/>
        </w:rPr>
        <w:t xml:space="preserve">relevant </w:t>
      </w:r>
      <w:r>
        <w:rPr>
          <w:rFonts w:eastAsia="MS Mincho"/>
          <w:lang w:val="en-US"/>
        </w:rPr>
        <w:t xml:space="preserve">text </w:t>
      </w:r>
      <w:r w:rsidR="00DE1AB8">
        <w:rPr>
          <w:rFonts w:eastAsia="MS Mincho"/>
          <w:lang w:val="en-US"/>
        </w:rPr>
        <w:t>from [</w:t>
      </w:r>
      <w:r w:rsidR="00C018AB">
        <w:rPr>
          <w:rFonts w:eastAsia="MS Mincho"/>
          <w:lang w:val="en-US"/>
        </w:rPr>
        <w:t>3</w:t>
      </w:r>
      <w:r w:rsidR="00DE1AB8">
        <w:rPr>
          <w:rFonts w:eastAsia="MS Mincho"/>
          <w:lang w:val="en-US"/>
        </w:rPr>
        <w:t xml:space="preserve">] </w:t>
      </w:r>
      <w:r>
        <w:rPr>
          <w:rFonts w:eastAsia="MS Mincho"/>
          <w:lang w:val="en-US"/>
        </w:rPr>
        <w:t>is copied below</w:t>
      </w:r>
      <w:r w:rsidR="00DC55E9">
        <w:rPr>
          <w:rFonts w:eastAsia="MS Mincho"/>
          <w:lang w:val="en-US"/>
        </w:rPr>
        <w:t>:</w:t>
      </w:r>
    </w:p>
    <w:p w14:paraId="7B716EDC" w14:textId="77777777" w:rsidR="00FD71D4" w:rsidRDefault="00FD71D4" w:rsidP="00FD71D4">
      <w:pPr>
        <w:spacing w:after="0"/>
        <w:jc w:val="both"/>
        <w:rPr>
          <w:rFonts w:eastAsia="MS Mincho"/>
          <w:lang w:val="en-US"/>
        </w:rPr>
      </w:pPr>
    </w:p>
    <w:p w14:paraId="62F7F958" w14:textId="50272610" w:rsidR="00724625" w:rsidRPr="00FD71D4" w:rsidRDefault="00DE1AB8" w:rsidP="00FD71D4">
      <w:pPr>
        <w:ind w:left="360"/>
        <w:jc w:val="both"/>
        <w:rPr>
          <w:rFonts w:ascii="Courier New" w:eastAsia="MS Mincho" w:hAnsi="Courier New" w:cs="Courier New"/>
          <w:sz w:val="18"/>
        </w:rPr>
      </w:pPr>
      <w:r w:rsidRPr="00FD71D4">
        <w:rPr>
          <w:rFonts w:ascii="Courier New" w:eastAsia="MS Mincho" w:hAnsi="Courier New" w:cs="Courier New"/>
          <w:sz w:val="18"/>
        </w:rPr>
        <w:t>“</w:t>
      </w:r>
      <w:r w:rsidR="00724625" w:rsidRPr="00FD71D4">
        <w:rPr>
          <w:rFonts w:ascii="Courier New" w:eastAsia="MS Mincho" w:hAnsi="Courier New" w:cs="Courier New"/>
          <w:sz w:val="18"/>
        </w:rPr>
        <w:t>RAN1 respectfully asks RAN to discuss 2-28 and Component 7) of 5-1 and also to decide whether the feature is mandatory/optional based on RAN WG recommendations.</w:t>
      </w:r>
      <w:r w:rsidRPr="00FD71D4">
        <w:rPr>
          <w:rFonts w:ascii="Courier New" w:eastAsia="MS Mincho" w:hAnsi="Courier New" w:cs="Courier New"/>
          <w:sz w:val="18"/>
        </w:rPr>
        <w:t>”</w:t>
      </w:r>
    </w:p>
    <w:p w14:paraId="4A5CBE29" w14:textId="647C1F22" w:rsidR="00724625" w:rsidRPr="00724625" w:rsidRDefault="00806319" w:rsidP="00724625">
      <w:pPr>
        <w:rPr>
          <w:lang w:val="en-US"/>
        </w:rPr>
      </w:pPr>
      <w:r>
        <w:rPr>
          <w:lang w:val="en-US"/>
        </w:rPr>
        <w:t>In this contribution, we discuss UE feature 5-1.</w:t>
      </w:r>
    </w:p>
    <w:p w14:paraId="5553CB5D" w14:textId="77777777" w:rsidR="003D23CF" w:rsidRDefault="003D23CF" w:rsidP="00A07C4D">
      <w:pPr>
        <w:spacing w:after="0"/>
        <w:jc w:val="both"/>
        <w:rPr>
          <w:rFonts w:eastAsia="MS Mincho"/>
          <w:lang w:val="en-US"/>
        </w:rPr>
      </w:pPr>
    </w:p>
    <w:p w14:paraId="65DBA096" w14:textId="1282626C" w:rsidR="008C233A" w:rsidRPr="008C233A" w:rsidRDefault="008C233A" w:rsidP="00A07C4D">
      <w:pPr>
        <w:pStyle w:val="Heading1"/>
        <w:jc w:val="both"/>
        <w:rPr>
          <w:lang w:eastAsia="zh-CN"/>
        </w:rPr>
      </w:pPr>
      <w:r>
        <w:t>Discussion</w:t>
      </w:r>
      <w:r w:rsidRPr="008C233A">
        <w:rPr>
          <w:rFonts w:eastAsia="MS Mincho"/>
          <w:lang w:val="en-US"/>
        </w:rPr>
        <w:t xml:space="preserve">  </w:t>
      </w:r>
    </w:p>
    <w:p w14:paraId="57F6F515" w14:textId="1EFC3152" w:rsidR="003557BD" w:rsidRDefault="003557BD" w:rsidP="003D23C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The LS [</w:t>
      </w:r>
      <w:r w:rsidR="00C018AB">
        <w:rPr>
          <w:rFonts w:eastAsia="MS Mincho"/>
          <w:lang w:val="en-US"/>
        </w:rPr>
        <w:t>3</w:t>
      </w:r>
      <w:r>
        <w:rPr>
          <w:rFonts w:eastAsia="MS Mincho"/>
          <w:lang w:val="en-US"/>
        </w:rPr>
        <w:t xml:space="preserve">] </w:t>
      </w:r>
      <w:r w:rsidR="00AC3636">
        <w:rPr>
          <w:rFonts w:eastAsia="MS Mincho"/>
          <w:lang w:val="en-US"/>
        </w:rPr>
        <w:t>asked about</w:t>
      </w:r>
      <w:r>
        <w:rPr>
          <w:rFonts w:eastAsia="MS Mincho"/>
          <w:lang w:val="en-US"/>
        </w:rPr>
        <w:t xml:space="preserve"> Component 7) of UE feature 5-1</w:t>
      </w:r>
      <w:r w:rsidR="003D23CF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The</w:t>
      </w:r>
      <w:r w:rsidR="005F39D4">
        <w:rPr>
          <w:rFonts w:eastAsia="MS Mincho"/>
          <w:lang w:val="en-US"/>
        </w:rPr>
        <w:t xml:space="preserve"> relevant entries in the UE feature table </w:t>
      </w:r>
      <w:r w:rsidR="00B26A25">
        <w:rPr>
          <w:rFonts w:eastAsia="MS Mincho"/>
          <w:lang w:val="en-US"/>
        </w:rPr>
        <w:t>are</w:t>
      </w:r>
      <w:r w:rsidR="005F39D4">
        <w:rPr>
          <w:rFonts w:eastAsia="MS Mincho"/>
          <w:lang w:val="en-US"/>
        </w:rPr>
        <w:t xml:space="preserve"> copied below.</w:t>
      </w:r>
    </w:p>
    <w:p w14:paraId="1039F732" w14:textId="77777777" w:rsidR="005F39D4" w:rsidRDefault="005F39D4" w:rsidP="003D23CF">
      <w:pPr>
        <w:spacing w:after="0"/>
        <w:rPr>
          <w:rFonts w:eastAsia="MS Mincho"/>
          <w:lang w:val="en-US"/>
        </w:rPr>
      </w:pPr>
    </w:p>
    <w:p w14:paraId="7EC0AB10" w14:textId="77777777" w:rsidR="003557BD" w:rsidRDefault="003557BD" w:rsidP="003D23CF">
      <w:pPr>
        <w:spacing w:after="0"/>
        <w:rPr>
          <w:rFonts w:eastAsia="MS Mincho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8"/>
        <w:gridCol w:w="900"/>
        <w:gridCol w:w="1800"/>
        <w:gridCol w:w="218"/>
        <w:gridCol w:w="503"/>
        <w:gridCol w:w="218"/>
        <w:gridCol w:w="501"/>
        <w:gridCol w:w="540"/>
        <w:gridCol w:w="540"/>
        <w:gridCol w:w="218"/>
        <w:gridCol w:w="1131"/>
        <w:gridCol w:w="629"/>
        <w:gridCol w:w="900"/>
        <w:gridCol w:w="956"/>
      </w:tblGrid>
      <w:tr w:rsidR="00BD18C8" w:rsidRPr="00A2545F" w14:paraId="3A4C32E1" w14:textId="77777777" w:rsidTr="00BD18C8">
        <w:trPr>
          <w:trHeight w:val="285"/>
        </w:trPr>
        <w:tc>
          <w:tcPr>
            <w:tcW w:w="190" w:type="pct"/>
            <w:shd w:val="clear" w:color="auto" w:fill="auto"/>
            <w:vAlign w:val="center"/>
          </w:tcPr>
          <w:p w14:paraId="3C3895DF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5-1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1DA6E2B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Basic scheduling/HARQ operation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3C13F84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1) Frequency-domain resource allocation</w:t>
            </w:r>
          </w:p>
          <w:p w14:paraId="77AE60E6" w14:textId="77777777" w:rsidR="003557BD" w:rsidRPr="003557BD" w:rsidRDefault="003557BD" w:rsidP="00EC5A0F">
            <w:pPr>
              <w:snapToGrid w:val="0"/>
              <w:ind w:firstLineChars="50" w:firstLine="7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- RA Type 0 only and Type 1 only for PDSCH without interleaving</w:t>
            </w:r>
          </w:p>
          <w:p w14:paraId="77C84F5D" w14:textId="77777777" w:rsidR="003557BD" w:rsidRPr="003557BD" w:rsidRDefault="003557BD" w:rsidP="00EC5A0F">
            <w:pPr>
              <w:snapToGrid w:val="0"/>
              <w:ind w:firstLineChars="50" w:firstLine="7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- RA Type 1 for PUSCH without interleaving</w:t>
            </w:r>
          </w:p>
          <w:p w14:paraId="5A998DB5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2) Time-domain resource allocation</w:t>
            </w:r>
          </w:p>
          <w:p w14:paraId="4FDE3A63" w14:textId="77777777" w:rsidR="003557BD" w:rsidRPr="003557BD" w:rsidRDefault="003557BD" w:rsidP="00EC5A0F">
            <w:pPr>
              <w:snapToGrid w:val="0"/>
              <w:ind w:firstLineChars="50" w:firstLine="7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 xml:space="preserve">- 1-14 OFDM symbols for PUSCH once per slot </w:t>
            </w:r>
          </w:p>
          <w:p w14:paraId="1B72B571" w14:textId="77777777" w:rsidR="003557BD" w:rsidRPr="003557BD" w:rsidRDefault="003557BD" w:rsidP="00EC5A0F">
            <w:pPr>
              <w:snapToGrid w:val="0"/>
              <w:ind w:firstLineChars="50" w:firstLine="7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- Starting symbol, and duration are determined by using the DCI</w:t>
            </w:r>
          </w:p>
          <w:p w14:paraId="1AA782D9" w14:textId="77777777" w:rsidR="003557BD" w:rsidRPr="003557BD" w:rsidRDefault="003557BD" w:rsidP="00EC5A0F">
            <w:pPr>
              <w:snapToGrid w:val="0"/>
              <w:ind w:firstLineChars="50" w:firstLine="7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- PDSCH mapping type A with 7-14 OFDM symbols</w:t>
            </w:r>
          </w:p>
          <w:p w14:paraId="27538DA9" w14:textId="77777777" w:rsidR="003557BD" w:rsidRPr="003557BD" w:rsidRDefault="003557BD" w:rsidP="00EC5A0F">
            <w:pPr>
              <w:snapToGrid w:val="0"/>
              <w:ind w:firstLineChars="50" w:firstLine="7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- PUSCH mapping type A and type B</w:t>
            </w:r>
          </w:p>
          <w:p w14:paraId="4B6E432B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 xml:space="preserve">- For type 1 without dedicated RRC configuration and for type 0, 0A, and 2, PDSCH mapping type A </w:t>
            </w:r>
            <w:r w:rsidRPr="003557BD">
              <w:rPr>
                <w:rFonts w:ascii="Arial" w:eastAsia="MS PGothic" w:hAnsi="Arial" w:cs="Arial"/>
                <w:color w:val="auto"/>
                <w:sz w:val="14"/>
              </w:rPr>
              <w:t xml:space="preserve">with </w:t>
            </w:r>
            <w:r w:rsidRPr="003557BD">
              <w:rPr>
                <w:rFonts w:ascii="Arial" w:hAnsi="Arial" w:cs="Arial"/>
                <w:color w:val="auto"/>
                <w:sz w:val="14"/>
              </w:rPr>
              <w:t>{4-14} OFDM symbols</w:t>
            </w:r>
            <w:r w:rsidRPr="003557BD">
              <w:rPr>
                <w:rFonts w:ascii="Arial" w:eastAsia="MS PGothic" w:hAnsi="Arial" w:cs="Arial"/>
                <w:sz w:val="14"/>
                <w:szCs w:val="18"/>
              </w:rPr>
              <w:t xml:space="preserve"> and type B </w:t>
            </w:r>
            <w:r w:rsidRPr="003557BD">
              <w:rPr>
                <w:rFonts w:ascii="Arial" w:eastAsia="MS PGothic" w:hAnsi="Arial" w:cs="Arial"/>
                <w:color w:val="auto"/>
                <w:sz w:val="14"/>
              </w:rPr>
              <w:t xml:space="preserve">with </w:t>
            </w:r>
            <w:r w:rsidRPr="003557BD">
              <w:rPr>
                <w:rFonts w:ascii="Arial" w:hAnsi="Arial" w:cs="Arial"/>
                <w:color w:val="auto"/>
                <w:sz w:val="14"/>
              </w:rPr>
              <w:t>{2, 4, 7} OFDM symbols</w:t>
            </w:r>
          </w:p>
          <w:p w14:paraId="601399FE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3) TBS determination</w:t>
            </w:r>
          </w:p>
          <w:p w14:paraId="6B078927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4) Nominal UE processing time for N1 and N2 (Capability #1)</w:t>
            </w:r>
          </w:p>
          <w:p w14:paraId="1B257BE1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lastRenderedPageBreak/>
              <w:t>5) HARQ process operation with configurable number of DL HARQ processes of up to 16</w:t>
            </w:r>
          </w:p>
          <w:p w14:paraId="080E30FF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 xml:space="preserve">6) </w:t>
            </w:r>
            <w:r w:rsidRPr="003557BD">
              <w:rPr>
                <w:rFonts w:ascii="Arial" w:hAnsi="Arial" w:cs="Arial"/>
                <w:sz w:val="14"/>
                <w:szCs w:val="18"/>
                <w:lang w:eastAsia="zh-CN"/>
              </w:rPr>
              <w:t>Cell specific RRC configured UL/DL assignment for TDD</w:t>
            </w:r>
          </w:p>
          <w:p w14:paraId="237A5A57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hAnsi="Arial" w:cs="Arial"/>
                <w:sz w:val="14"/>
                <w:szCs w:val="18"/>
                <w:highlight w:val="yellow"/>
                <w:lang w:eastAsia="zh-CN"/>
              </w:rPr>
              <w:t>7) Dynamic UL/DL determination based on L1 scheduling DCI with/without cell specific RRC configured UL/DL assignment</w:t>
            </w:r>
          </w:p>
          <w:p w14:paraId="27E87BD2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 xml:space="preserve">8) Intra-slot frequency-hopping for PUSCH scheduled by Type 1 before RRC connection </w:t>
            </w:r>
          </w:p>
          <w:p w14:paraId="1CE2F451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9) In TDD support at most one switch point per slot for actual DL/UL transmission(s)</w:t>
            </w:r>
          </w:p>
        </w:tc>
        <w:tc>
          <w:tcPr>
            <w:tcW w:w="116" w:type="pct"/>
            <w:shd w:val="clear" w:color="auto" w:fill="auto"/>
          </w:tcPr>
          <w:p w14:paraId="49C396C6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6F7C117A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Yes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05B77693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A4CA59D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97A6B6D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87803F3" w14:textId="77777777" w:rsidR="003557BD" w:rsidRPr="003557BD" w:rsidRDefault="003557BD" w:rsidP="00EC5A0F">
            <w:pPr>
              <w:snapToGri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3557BD">
              <w:rPr>
                <w:rFonts w:ascii="Arial" w:hAnsi="Arial" w:cs="Arial"/>
                <w:sz w:val="14"/>
                <w:szCs w:val="18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7F3C4276" w14:textId="77777777" w:rsidR="003557BD" w:rsidRPr="003557BD" w:rsidRDefault="003557BD" w:rsidP="00EC5A0F">
            <w:pPr>
              <w:snapToGrid w:val="0"/>
              <w:rPr>
                <w:rFonts w:ascii="Arial" w:eastAsia="Malgun Gothic" w:hAnsi="Arial" w:cs="Arial"/>
                <w:sz w:val="14"/>
                <w:szCs w:val="1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45CEAA1E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Note: If UE is configured with more than 8 HARQ processes, RAN4 continue to discuss the impact of 16 HARQ processes</w:t>
            </w:r>
          </w:p>
          <w:p w14:paraId="2461277A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3E344059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RAN1</w:t>
            </w:r>
          </w:p>
        </w:tc>
        <w:tc>
          <w:tcPr>
            <w:tcW w:w="478" w:type="pct"/>
            <w:shd w:val="clear" w:color="000000" w:fill="BFBFBF"/>
            <w:vAlign w:val="center"/>
          </w:tcPr>
          <w:p w14:paraId="759565AE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 xml:space="preserve">Mandatory without capability </w:t>
            </w:r>
            <w:proofErr w:type="spellStart"/>
            <w:r w:rsidRPr="003557BD">
              <w:rPr>
                <w:rFonts w:ascii="Arial" w:eastAsia="MS PGothic" w:hAnsi="Arial" w:cs="Arial"/>
                <w:sz w:val="14"/>
                <w:szCs w:val="18"/>
              </w:rPr>
              <w:t>signaling</w:t>
            </w:r>
            <w:proofErr w:type="spellEnd"/>
          </w:p>
        </w:tc>
        <w:tc>
          <w:tcPr>
            <w:tcW w:w="508" w:type="pct"/>
            <w:shd w:val="clear" w:color="auto" w:fill="auto"/>
            <w:vAlign w:val="center"/>
          </w:tcPr>
          <w:p w14:paraId="7F6AABC2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 xml:space="preserve">Mandatory without capability </w:t>
            </w:r>
            <w:proofErr w:type="spellStart"/>
            <w:r w:rsidRPr="003557BD">
              <w:rPr>
                <w:rFonts w:ascii="Arial" w:eastAsia="MS PGothic" w:hAnsi="Arial" w:cs="Arial"/>
                <w:sz w:val="14"/>
                <w:szCs w:val="18"/>
              </w:rPr>
              <w:t>signaling</w:t>
            </w:r>
            <w:proofErr w:type="spellEnd"/>
          </w:p>
        </w:tc>
      </w:tr>
      <w:tr w:rsidR="00BD18C8" w:rsidRPr="00A2545F" w14:paraId="0683EDAC" w14:textId="77777777" w:rsidTr="00BD18C8">
        <w:trPr>
          <w:trHeight w:val="585"/>
        </w:trPr>
        <w:tc>
          <w:tcPr>
            <w:tcW w:w="190" w:type="pct"/>
            <w:shd w:val="clear" w:color="auto" w:fill="auto"/>
            <w:vAlign w:val="center"/>
          </w:tcPr>
          <w:p w14:paraId="1848AFE4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hAnsi="Arial" w:cs="Arial"/>
                <w:sz w:val="14"/>
                <w:szCs w:val="18"/>
                <w:lang w:eastAsia="zh-CN"/>
              </w:rPr>
              <w:t>5-1a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790829D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UE specific RRC configure UL/DL assignment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3DEF9122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116" w:type="pct"/>
            <w:shd w:val="clear" w:color="auto" w:fill="auto"/>
          </w:tcPr>
          <w:p w14:paraId="2A9FA5DC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9AAC0F6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hAnsi="Arial" w:cs="Arial"/>
                <w:sz w:val="14"/>
                <w:szCs w:val="18"/>
                <w:lang w:eastAsia="zh-CN"/>
              </w:rPr>
              <w:t>Yes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36B9879E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694819B" w14:textId="77777777" w:rsidR="003557BD" w:rsidRPr="003557BD" w:rsidDel="00932FC3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hAnsi="Arial" w:cs="Arial"/>
                <w:sz w:val="14"/>
                <w:szCs w:val="18"/>
                <w:lang w:eastAsia="zh-CN"/>
              </w:rPr>
              <w:t>Type 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A3CDC8C" w14:textId="77777777" w:rsidR="003557BD" w:rsidRPr="003557BD" w:rsidDel="00932FC3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hAnsi="Arial" w:cs="Arial"/>
                <w:sz w:val="14"/>
                <w:szCs w:val="18"/>
                <w:lang w:eastAsia="zh-CN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BE5940A" w14:textId="77777777" w:rsidR="003557BD" w:rsidRPr="003557BD" w:rsidDel="00932FC3" w:rsidRDefault="003557BD" w:rsidP="00EC5A0F">
            <w:pPr>
              <w:snapToGrid w:val="0"/>
              <w:jc w:val="center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hAnsi="Arial" w:cs="Arial"/>
                <w:sz w:val="14"/>
                <w:szCs w:val="18"/>
                <w:lang w:eastAsia="zh-CN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116D31C8" w14:textId="77777777" w:rsidR="003557BD" w:rsidRPr="003557BD" w:rsidRDefault="003557BD" w:rsidP="00EC5A0F">
            <w:pPr>
              <w:snapToGrid w:val="0"/>
              <w:rPr>
                <w:rFonts w:ascii="Arial" w:eastAsia="Malgun Gothic" w:hAnsi="Arial" w:cs="Arial"/>
                <w:sz w:val="14"/>
                <w:szCs w:val="1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251B7995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RAN1 needs to check component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A141E40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3557BD">
              <w:rPr>
                <w:rFonts w:ascii="Arial" w:eastAsia="MS PGothic" w:hAnsi="Arial" w:cs="Arial"/>
                <w:sz w:val="14"/>
                <w:szCs w:val="18"/>
              </w:rPr>
              <w:t>RAN1</w:t>
            </w:r>
          </w:p>
        </w:tc>
        <w:tc>
          <w:tcPr>
            <w:tcW w:w="478" w:type="pct"/>
            <w:shd w:val="clear" w:color="000000" w:fill="BFBFBF"/>
            <w:vAlign w:val="center"/>
          </w:tcPr>
          <w:p w14:paraId="60D93DE9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09290A7C" w14:textId="77777777" w:rsidR="003557BD" w:rsidRPr="003557BD" w:rsidRDefault="003557BD" w:rsidP="00EC5A0F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</w:tr>
    </w:tbl>
    <w:p w14:paraId="1B0502E6" w14:textId="382501BE" w:rsidR="005669FB" w:rsidRDefault="003D23CF" w:rsidP="003D23C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46FE465E" w14:textId="64AB10DF" w:rsidR="003D23CF" w:rsidRDefault="003D23CF" w:rsidP="00CF3C3C">
      <w:pPr>
        <w:spacing w:after="0"/>
        <w:jc w:val="both"/>
        <w:rPr>
          <w:rFonts w:eastAsia="MS Mincho"/>
          <w:lang w:val="en-US"/>
        </w:rPr>
      </w:pPr>
    </w:p>
    <w:p w14:paraId="11B32C6B" w14:textId="7B9F2450" w:rsidR="005F39D4" w:rsidRDefault="005F39D4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 proposal had been made in </w:t>
      </w:r>
      <w:r w:rsidR="00881EA6">
        <w:rPr>
          <w:rFonts w:eastAsia="MS Mincho"/>
          <w:lang w:val="en-US"/>
        </w:rPr>
        <w:t>[</w:t>
      </w:r>
      <w:r w:rsidR="00AC3636">
        <w:rPr>
          <w:rFonts w:eastAsia="MS Mincho"/>
          <w:lang w:val="en-US"/>
        </w:rPr>
        <w:t>5</w:t>
      </w:r>
      <w:r w:rsidR="00881EA6">
        <w:rPr>
          <w:rFonts w:eastAsia="MS Mincho"/>
          <w:lang w:val="en-US"/>
        </w:rPr>
        <w:t>] to create a new feature by copying Component 7) and at the same time deleting it from basic feature 5-1. (Note that the proponent company had a ‘principles’ proposal</w:t>
      </w:r>
      <w:r w:rsidR="00AC3636">
        <w:rPr>
          <w:rFonts w:eastAsia="MS Mincho"/>
          <w:lang w:val="en-US"/>
        </w:rPr>
        <w:t xml:space="preserve"> [</w:t>
      </w:r>
      <w:r w:rsidR="00C018AB">
        <w:rPr>
          <w:rFonts w:eastAsia="MS Mincho"/>
          <w:lang w:val="en-US"/>
        </w:rPr>
        <w:t>6</w:t>
      </w:r>
      <w:r w:rsidR="00AC3636">
        <w:rPr>
          <w:rFonts w:eastAsia="MS Mincho"/>
          <w:lang w:val="en-US"/>
        </w:rPr>
        <w:t>]</w:t>
      </w:r>
      <w:r w:rsidR="00881EA6">
        <w:rPr>
          <w:rFonts w:eastAsia="MS Mincho"/>
          <w:lang w:val="en-US"/>
        </w:rPr>
        <w:t xml:space="preserve"> before, recommending against s</w:t>
      </w:r>
      <w:r w:rsidR="00B26A25">
        <w:rPr>
          <w:rFonts w:eastAsia="MS Mincho"/>
          <w:lang w:val="en-US"/>
        </w:rPr>
        <w:t>imilar</w:t>
      </w:r>
      <w:r w:rsidR="00881EA6">
        <w:rPr>
          <w:rFonts w:eastAsia="MS Mincho"/>
          <w:lang w:val="en-US"/>
        </w:rPr>
        <w:t xml:space="preserve"> changes.</w:t>
      </w:r>
      <w:r w:rsidR="00AC3636">
        <w:rPr>
          <w:rFonts w:eastAsia="MS Mincho"/>
          <w:lang w:val="en-US"/>
        </w:rPr>
        <w:t xml:space="preserve"> Of course, </w:t>
      </w:r>
      <w:r w:rsidR="00B26A25">
        <w:rPr>
          <w:rFonts w:eastAsia="MS Mincho"/>
          <w:lang w:val="en-US"/>
        </w:rPr>
        <w:t xml:space="preserve">this should not prevent </w:t>
      </w:r>
      <w:proofErr w:type="gramStart"/>
      <w:r w:rsidR="00B26A25">
        <w:rPr>
          <w:rFonts w:eastAsia="MS Mincho"/>
          <w:lang w:val="en-US"/>
        </w:rPr>
        <w:t>giving full consideration to</w:t>
      </w:r>
      <w:proofErr w:type="gramEnd"/>
      <w:r w:rsidR="00B26A25">
        <w:rPr>
          <w:rFonts w:eastAsia="MS Mincho"/>
          <w:lang w:val="en-US"/>
        </w:rPr>
        <w:t xml:space="preserve"> the current proposal in [5]</w:t>
      </w:r>
      <w:r w:rsidR="005C3B10">
        <w:rPr>
          <w:rFonts w:eastAsia="MS Mincho"/>
          <w:lang w:val="en-US"/>
        </w:rPr>
        <w:t>.</w:t>
      </w:r>
      <w:r w:rsidR="00B26A25">
        <w:rPr>
          <w:rFonts w:eastAsia="MS Mincho"/>
          <w:lang w:val="en-US"/>
        </w:rPr>
        <w:t xml:space="preserve"> As a matter of fact, we think the IoT aspects raised are generally the most important considerations for the decisions on capability signaling.</w:t>
      </w:r>
      <w:r w:rsidR="00881EA6">
        <w:rPr>
          <w:rFonts w:eastAsia="MS Mincho"/>
          <w:lang w:val="en-US"/>
        </w:rPr>
        <w:t xml:space="preserve">) </w:t>
      </w:r>
    </w:p>
    <w:p w14:paraId="7277A601" w14:textId="73285CBC" w:rsidR="00881EA6" w:rsidRDefault="00881EA6" w:rsidP="00CF3C3C">
      <w:pPr>
        <w:spacing w:after="0"/>
        <w:jc w:val="both"/>
        <w:rPr>
          <w:rFonts w:eastAsia="MS Mincho"/>
          <w:lang w:val="en-US"/>
        </w:rPr>
      </w:pPr>
    </w:p>
    <w:p w14:paraId="5CEAE9ED" w14:textId="0FA73BEE" w:rsidR="00881EA6" w:rsidRDefault="00881E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There has been extensive discussion on</w:t>
      </w:r>
    </w:p>
    <w:p w14:paraId="5FEF8848" w14:textId="1704F744" w:rsidR="00881EA6" w:rsidRDefault="00881EA6" w:rsidP="00CF3C3C">
      <w:pPr>
        <w:pStyle w:val="ListParagraph"/>
        <w:numPr>
          <w:ilvl w:val="0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Whether </w:t>
      </w:r>
      <w:r w:rsidRPr="00881EA6">
        <w:rPr>
          <w:lang w:val="en-US"/>
        </w:rPr>
        <w:t>removing Component 7) from the basic feature 5-1 w</w:t>
      </w:r>
      <w:r w:rsidR="001C46EA">
        <w:rPr>
          <w:lang w:val="en-US"/>
        </w:rPr>
        <w:t>ould</w:t>
      </w:r>
      <w:r w:rsidRPr="00881EA6">
        <w:rPr>
          <w:lang w:val="en-US"/>
        </w:rPr>
        <w:t xml:space="preserve"> create forward compatibility problems and </w:t>
      </w:r>
    </w:p>
    <w:p w14:paraId="0BCD4915" w14:textId="20D6B4F9" w:rsidR="00881EA6" w:rsidRPr="00881EA6" w:rsidRDefault="00881EA6" w:rsidP="00CF3C3C">
      <w:pPr>
        <w:pStyle w:val="ListParagraph"/>
        <w:numPr>
          <w:ilvl w:val="0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>W</w:t>
      </w:r>
      <w:r w:rsidRPr="00881EA6">
        <w:rPr>
          <w:lang w:val="en-US"/>
        </w:rPr>
        <w:t xml:space="preserve">hether leaving Component 7) in the basic feature 5-1 could create IoT issues, given that some early </w:t>
      </w:r>
      <w:proofErr w:type="spellStart"/>
      <w:r w:rsidRPr="00881EA6">
        <w:rPr>
          <w:lang w:val="en-US"/>
        </w:rPr>
        <w:t>gNBs</w:t>
      </w:r>
      <w:proofErr w:type="spellEnd"/>
      <w:r w:rsidRPr="00881EA6">
        <w:rPr>
          <w:lang w:val="en-US"/>
        </w:rPr>
        <w:t xml:space="preserve"> may not use dynamic TDD. </w:t>
      </w:r>
    </w:p>
    <w:p w14:paraId="14D3FB35" w14:textId="77777777" w:rsidR="00881EA6" w:rsidRDefault="00881EA6" w:rsidP="00CF3C3C">
      <w:pPr>
        <w:spacing w:after="0"/>
        <w:jc w:val="both"/>
        <w:rPr>
          <w:rFonts w:eastAsia="MS Mincho"/>
          <w:lang w:val="en-US"/>
        </w:rPr>
      </w:pPr>
    </w:p>
    <w:p w14:paraId="1BC364E1" w14:textId="77777777" w:rsidR="00881EA6" w:rsidRDefault="00881EA6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Our views on these issues are as follows: </w:t>
      </w:r>
    </w:p>
    <w:p w14:paraId="09B51FC6" w14:textId="77777777" w:rsidR="00881EA6" w:rsidRDefault="00881EA6" w:rsidP="00CF3C3C">
      <w:pPr>
        <w:spacing w:after="0"/>
        <w:jc w:val="both"/>
        <w:rPr>
          <w:rFonts w:eastAsia="MS Mincho"/>
          <w:lang w:val="en-US"/>
        </w:rPr>
      </w:pPr>
    </w:p>
    <w:p w14:paraId="6E7A998C" w14:textId="78364EA4" w:rsidR="00881EA6" w:rsidRPr="001C46EA" w:rsidRDefault="001C46EA" w:rsidP="00CF3C3C">
      <w:pPr>
        <w:spacing w:after="0"/>
        <w:jc w:val="both"/>
        <w:rPr>
          <w:u w:val="single"/>
          <w:lang w:val="en-US"/>
        </w:rPr>
      </w:pPr>
      <w:r w:rsidRPr="001C46EA">
        <w:rPr>
          <w:u w:val="single"/>
          <w:lang w:val="en-US"/>
        </w:rPr>
        <w:t>Whether removing Component 7) from the basic feature 5-1 will create forward compatibility problems</w:t>
      </w:r>
    </w:p>
    <w:p w14:paraId="0616E6AC" w14:textId="512365F1" w:rsidR="00373C63" w:rsidRDefault="00373C63" w:rsidP="00CF3C3C">
      <w:pPr>
        <w:spacing w:after="0"/>
        <w:jc w:val="both"/>
        <w:rPr>
          <w:rFonts w:eastAsia="MS Mincho"/>
          <w:lang w:val="en-US"/>
        </w:rPr>
      </w:pPr>
    </w:p>
    <w:p w14:paraId="560AA6BE" w14:textId="67916399" w:rsidR="001C46EA" w:rsidRDefault="001C46EA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If in the future there is a deployment where DL and UL assignments are fully flexible, there would be </w:t>
      </w:r>
      <w:proofErr w:type="spellStart"/>
      <w:r>
        <w:rPr>
          <w:rFonts w:eastAsia="MS Mincho"/>
          <w:lang w:val="en-US"/>
        </w:rPr>
        <w:t>gNBs</w:t>
      </w:r>
      <w:proofErr w:type="spellEnd"/>
      <w:r>
        <w:rPr>
          <w:rFonts w:eastAsia="MS Mincho"/>
          <w:lang w:val="en-US"/>
        </w:rPr>
        <w:t xml:space="preserve"> that either signal no cell-specific DL/UL configuration or signal cell-specific DL/UL configuration where all slots are indicated as ‘Undefined’. </w:t>
      </w:r>
      <w:r w:rsidR="009A2606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If there </w:t>
      </w:r>
      <w:r w:rsidR="009A2606">
        <w:rPr>
          <w:rFonts w:eastAsia="MS Mincho"/>
          <w:lang w:val="en-US"/>
        </w:rPr>
        <w:t>we</w:t>
      </w:r>
      <w:r>
        <w:rPr>
          <w:rFonts w:eastAsia="MS Mincho"/>
          <w:lang w:val="en-US"/>
        </w:rPr>
        <w:t>re UEs that don’t support Component 7), they would not be able to access these cells. Although these UEs could operate with DL/UL configuration</w:t>
      </w:r>
      <w:r w:rsidR="009A2606">
        <w:rPr>
          <w:rFonts w:eastAsia="MS Mincho"/>
          <w:lang w:val="en-US"/>
        </w:rPr>
        <w:t xml:space="preserve"> received</w:t>
      </w:r>
      <w:r>
        <w:rPr>
          <w:rFonts w:eastAsia="MS Mincho"/>
          <w:lang w:val="en-US"/>
        </w:rPr>
        <w:t xml:space="preserve"> via dedicated signaling, they will not be able obtain such signaling </w:t>
      </w:r>
      <w:r w:rsidR="009A2606">
        <w:rPr>
          <w:rFonts w:eastAsia="MS Mincho"/>
          <w:lang w:val="en-US"/>
        </w:rPr>
        <w:t>as</w:t>
      </w:r>
      <w:r>
        <w:rPr>
          <w:rFonts w:eastAsia="MS Mincho"/>
          <w:lang w:val="en-US"/>
        </w:rPr>
        <w:t xml:space="preserve"> they cannot access the cell. </w:t>
      </w:r>
    </w:p>
    <w:p w14:paraId="605746D1" w14:textId="3B61C3AB" w:rsidR="001C46EA" w:rsidRDefault="001C46EA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Therefore, in our view, </w:t>
      </w:r>
      <w:r w:rsidRPr="00881EA6">
        <w:rPr>
          <w:rFonts w:eastAsia="MS Mincho"/>
          <w:lang w:val="en-US"/>
        </w:rPr>
        <w:t>removing Component 7) from the basic feature 5-1 w</w:t>
      </w:r>
      <w:r>
        <w:rPr>
          <w:lang w:val="en-US"/>
        </w:rPr>
        <w:t>ould</w:t>
      </w:r>
      <w:r w:rsidRPr="00881EA6">
        <w:rPr>
          <w:rFonts w:eastAsia="MS Mincho"/>
          <w:lang w:val="en-US"/>
        </w:rPr>
        <w:t xml:space="preserve"> create forward compatibility problems</w:t>
      </w:r>
      <w:r w:rsidR="009A2606">
        <w:rPr>
          <w:rFonts w:eastAsia="MS Mincho"/>
          <w:lang w:val="en-US"/>
        </w:rPr>
        <w:t xml:space="preserve"> at least in SA modes</w:t>
      </w:r>
      <w:r>
        <w:rPr>
          <w:rFonts w:eastAsia="MS Mincho"/>
          <w:lang w:val="en-US"/>
        </w:rPr>
        <w:t xml:space="preserve">. </w:t>
      </w:r>
    </w:p>
    <w:p w14:paraId="1800D371" w14:textId="72BC5344" w:rsidR="001C46EA" w:rsidRDefault="001C46EA" w:rsidP="00A07C4D">
      <w:pPr>
        <w:spacing w:after="0"/>
        <w:jc w:val="both"/>
        <w:rPr>
          <w:rFonts w:eastAsia="MS Mincho"/>
          <w:lang w:val="en-US"/>
        </w:rPr>
      </w:pPr>
    </w:p>
    <w:p w14:paraId="3DD357E8" w14:textId="154EFAF1" w:rsidR="001C46EA" w:rsidRPr="001C46EA" w:rsidRDefault="001C46EA" w:rsidP="00A07C4D">
      <w:pPr>
        <w:spacing w:after="0"/>
        <w:jc w:val="both"/>
        <w:rPr>
          <w:rFonts w:eastAsia="MS Mincho"/>
          <w:u w:val="single"/>
          <w:lang w:val="en-US"/>
        </w:rPr>
      </w:pPr>
      <w:r w:rsidRPr="001C46EA">
        <w:rPr>
          <w:u w:val="single"/>
          <w:lang w:val="en-US"/>
        </w:rPr>
        <w:t>W</w:t>
      </w:r>
      <w:r w:rsidRPr="001C46EA">
        <w:rPr>
          <w:rFonts w:eastAsia="MS Mincho"/>
          <w:u w:val="single"/>
          <w:lang w:val="en-US"/>
        </w:rPr>
        <w:t>hether leaving Component 7) in the basic feature 5-1 could create IoT issues, given that some</w:t>
      </w:r>
      <w:r w:rsidR="00DC55E9">
        <w:rPr>
          <w:rFonts w:eastAsia="MS Mincho"/>
          <w:u w:val="single"/>
          <w:lang w:val="en-US"/>
        </w:rPr>
        <w:t>/many</w:t>
      </w:r>
      <w:r w:rsidRPr="001C46EA">
        <w:rPr>
          <w:rFonts w:eastAsia="MS Mincho"/>
          <w:u w:val="single"/>
          <w:lang w:val="en-US"/>
        </w:rPr>
        <w:t xml:space="preserve"> early </w:t>
      </w:r>
      <w:proofErr w:type="spellStart"/>
      <w:r w:rsidRPr="001C46EA">
        <w:rPr>
          <w:rFonts w:eastAsia="MS Mincho"/>
          <w:u w:val="single"/>
          <w:lang w:val="en-US"/>
        </w:rPr>
        <w:t>gNBs</w:t>
      </w:r>
      <w:proofErr w:type="spellEnd"/>
      <w:r w:rsidRPr="001C46EA">
        <w:rPr>
          <w:rFonts w:eastAsia="MS Mincho"/>
          <w:u w:val="single"/>
          <w:lang w:val="en-US"/>
        </w:rPr>
        <w:t xml:space="preserve"> may not use the dynamic TDD feature.</w:t>
      </w:r>
    </w:p>
    <w:p w14:paraId="48BD6A54" w14:textId="77777777" w:rsidR="001C46EA" w:rsidRDefault="001C46EA" w:rsidP="00A07C4D">
      <w:pPr>
        <w:spacing w:after="0"/>
        <w:jc w:val="both"/>
        <w:rPr>
          <w:rFonts w:eastAsia="MS Mincho"/>
          <w:lang w:val="en-US"/>
        </w:rPr>
      </w:pPr>
    </w:p>
    <w:p w14:paraId="3D91BBC8" w14:textId="6B1BC537" w:rsidR="0038086A" w:rsidRDefault="00A16754" w:rsidP="00A07C4D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NR design principle </w:t>
      </w:r>
      <w:r w:rsidR="009A2606">
        <w:rPr>
          <w:rFonts w:eastAsia="MS Mincho"/>
          <w:lang w:val="en-US"/>
        </w:rPr>
        <w:t>has been</w:t>
      </w:r>
      <w:r>
        <w:rPr>
          <w:rFonts w:eastAsia="MS Mincho"/>
          <w:lang w:val="en-US"/>
        </w:rPr>
        <w:t xml:space="preserve"> that a cell-specific DL/UL configuration is mainly used </w:t>
      </w:r>
      <w:r w:rsidR="002157AB">
        <w:rPr>
          <w:rFonts w:eastAsia="MS Mincho"/>
          <w:lang w:val="en-US"/>
        </w:rPr>
        <w:t xml:space="preserve">as indication for other cells and/or other operators. The air-interface operation between a </w:t>
      </w:r>
      <w:proofErr w:type="spellStart"/>
      <w:r w:rsidR="002157AB">
        <w:rPr>
          <w:rFonts w:eastAsia="MS Mincho"/>
          <w:lang w:val="en-US"/>
        </w:rPr>
        <w:t>gNB</w:t>
      </w:r>
      <w:proofErr w:type="spellEnd"/>
      <w:r w:rsidR="002157AB">
        <w:rPr>
          <w:rFonts w:eastAsia="MS Mincho"/>
          <w:lang w:val="en-US"/>
        </w:rPr>
        <w:t xml:space="preserve"> and </w:t>
      </w:r>
      <w:r w:rsidR="00211EBF">
        <w:rPr>
          <w:rFonts w:eastAsia="MS Mincho"/>
          <w:lang w:val="en-US"/>
        </w:rPr>
        <w:t xml:space="preserve">a </w:t>
      </w:r>
      <w:r w:rsidR="002157AB">
        <w:rPr>
          <w:rFonts w:eastAsia="MS Mincho"/>
          <w:lang w:val="en-US"/>
        </w:rPr>
        <w:t>UE</w:t>
      </w:r>
      <w:r w:rsidR="009A2606">
        <w:rPr>
          <w:rFonts w:eastAsia="MS Mincho"/>
          <w:lang w:val="en-US"/>
        </w:rPr>
        <w:t xml:space="preserve"> served by the </w:t>
      </w:r>
      <w:proofErr w:type="spellStart"/>
      <w:r w:rsidR="009A2606">
        <w:rPr>
          <w:rFonts w:eastAsia="MS Mincho"/>
          <w:lang w:val="en-US"/>
        </w:rPr>
        <w:t>gNB</w:t>
      </w:r>
      <w:proofErr w:type="spellEnd"/>
      <w:r w:rsidR="002157AB">
        <w:rPr>
          <w:rFonts w:eastAsia="MS Mincho"/>
          <w:lang w:val="en-US"/>
        </w:rPr>
        <w:t xml:space="preserve"> is mostly the same with or without cell-specific DL/UL configuration. </w:t>
      </w:r>
      <w:r w:rsidR="0038086A">
        <w:rPr>
          <w:rFonts w:eastAsia="MS Mincho"/>
          <w:lang w:val="en-US"/>
        </w:rPr>
        <w:t>This was the result of the agreement captured in [</w:t>
      </w:r>
      <w:r w:rsidR="000F4C87">
        <w:rPr>
          <w:rFonts w:eastAsia="MS Mincho"/>
          <w:lang w:val="en-US"/>
        </w:rPr>
        <w:t>7</w:t>
      </w:r>
      <w:r w:rsidR="0038086A">
        <w:rPr>
          <w:rFonts w:eastAsia="MS Mincho"/>
          <w:lang w:val="en-US"/>
        </w:rPr>
        <w:t>] and copied below:</w:t>
      </w:r>
    </w:p>
    <w:p w14:paraId="2369C1FF" w14:textId="2B442695" w:rsidR="000F55F2" w:rsidRDefault="000F55F2" w:rsidP="00A07C4D">
      <w:pPr>
        <w:spacing w:after="0"/>
        <w:jc w:val="both"/>
        <w:rPr>
          <w:rFonts w:eastAsia="MS Mincho"/>
          <w:lang w:val="en-US"/>
        </w:rPr>
      </w:pPr>
    </w:p>
    <w:p w14:paraId="7088FEE3" w14:textId="52A745B9" w:rsidR="000F55F2" w:rsidRDefault="000F55F2" w:rsidP="00A07C4D">
      <w:pPr>
        <w:spacing w:after="0"/>
        <w:jc w:val="both"/>
        <w:rPr>
          <w:rFonts w:eastAsia="MS Mincho"/>
          <w:lang w:val="en-US"/>
        </w:rPr>
      </w:pPr>
    </w:p>
    <w:p w14:paraId="762A9C66" w14:textId="5BBEFF39" w:rsidR="000F55F2" w:rsidRDefault="000F55F2" w:rsidP="00A07C4D">
      <w:pPr>
        <w:spacing w:after="0"/>
        <w:jc w:val="both"/>
        <w:rPr>
          <w:rFonts w:eastAsia="MS Mincho"/>
          <w:lang w:val="en-US"/>
        </w:rPr>
      </w:pPr>
    </w:p>
    <w:p w14:paraId="49520573" w14:textId="77777777" w:rsidR="000F55F2" w:rsidRDefault="000F55F2" w:rsidP="00A07C4D">
      <w:pPr>
        <w:spacing w:after="0"/>
        <w:jc w:val="both"/>
        <w:rPr>
          <w:rFonts w:eastAsia="MS Mincho"/>
          <w:lang w:val="en-US"/>
        </w:rPr>
      </w:pPr>
      <w:bookmarkStart w:id="2" w:name="_GoBack"/>
      <w:bookmarkEnd w:id="2"/>
    </w:p>
    <w:p w14:paraId="2843198F" w14:textId="77777777" w:rsidR="0038086A" w:rsidRDefault="0038086A" w:rsidP="00A07C4D">
      <w:pPr>
        <w:spacing w:after="0"/>
        <w:jc w:val="both"/>
        <w:rPr>
          <w:rFonts w:eastAsia="MS Mincho"/>
          <w:lang w:val="en-US"/>
        </w:rPr>
      </w:pPr>
    </w:p>
    <w:p w14:paraId="4DFF43F7" w14:textId="7F117018" w:rsidR="0038086A" w:rsidRPr="0038086A" w:rsidRDefault="0038086A" w:rsidP="0038086A">
      <w:pPr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b/>
          <w:iCs/>
          <w:sz w:val="18"/>
          <w:lang w:val="en-US"/>
        </w:rPr>
        <w:lastRenderedPageBreak/>
        <w:t>R1-1706775</w:t>
      </w:r>
      <w:r w:rsidR="00C018AB">
        <w:rPr>
          <w:rFonts w:ascii="Courier New" w:eastAsia="MS Mincho" w:hAnsi="Courier New" w:cs="Courier New"/>
          <w:b/>
          <w:iCs/>
          <w:sz w:val="18"/>
          <w:lang w:val="en-US"/>
        </w:rPr>
        <w:t xml:space="preserve"> </w:t>
      </w:r>
      <w:r w:rsidR="00C018AB" w:rsidRPr="00C018AB">
        <w:rPr>
          <w:rFonts w:ascii="Courier New" w:eastAsia="MS Mincho" w:hAnsi="Courier New" w:cs="Courier New"/>
          <w:iCs/>
          <w:sz w:val="18"/>
          <w:lang w:val="en-US"/>
        </w:rPr>
        <w:t>[8]</w:t>
      </w:r>
      <w:r w:rsidRPr="0038086A">
        <w:rPr>
          <w:rFonts w:ascii="Courier New" w:eastAsia="MS Mincho" w:hAnsi="Courier New" w:cs="Courier New"/>
          <w:iCs/>
          <w:sz w:val="18"/>
          <w:lang w:val="en-US"/>
        </w:rPr>
        <w:tab/>
      </w:r>
      <w:r w:rsidRPr="0038086A">
        <w:rPr>
          <w:rFonts w:ascii="Courier New" w:eastAsia="MS Mincho" w:hAnsi="Courier New" w:cs="Courier New"/>
          <w:iCs/>
          <w:sz w:val="18"/>
        </w:rPr>
        <w:t>WF on TDD Configurations</w:t>
      </w:r>
      <w:r w:rsidRPr="0038086A">
        <w:rPr>
          <w:rFonts w:ascii="Courier New" w:eastAsia="MS Mincho" w:hAnsi="Courier New" w:cs="Courier New"/>
          <w:iCs/>
          <w:sz w:val="18"/>
        </w:rPr>
        <w:tab/>
        <w:t>Qualcomm, Ericsson, Nokia</w:t>
      </w:r>
    </w:p>
    <w:p w14:paraId="54DF46ED" w14:textId="77777777" w:rsidR="0038086A" w:rsidRPr="0038086A" w:rsidRDefault="0038086A" w:rsidP="0038086A">
      <w:pPr>
        <w:rPr>
          <w:rFonts w:ascii="Courier New" w:eastAsia="MS Mincho" w:hAnsi="Courier New" w:cs="Courier New"/>
          <w:b/>
          <w:iCs/>
          <w:sz w:val="18"/>
          <w:u w:val="single"/>
          <w:lang w:val="en-US"/>
        </w:rPr>
      </w:pPr>
      <w:r w:rsidRPr="0038086A">
        <w:rPr>
          <w:rFonts w:ascii="Courier New" w:eastAsia="MS Mincho" w:hAnsi="Courier New" w:cs="Courier New"/>
          <w:b/>
          <w:iCs/>
          <w:sz w:val="18"/>
          <w:highlight w:val="green"/>
          <w:u w:val="single"/>
          <w:lang w:val="en-US"/>
        </w:rPr>
        <w:t>Agreements:</w:t>
      </w:r>
    </w:p>
    <w:p w14:paraId="14B0D707" w14:textId="77777777" w:rsidR="0038086A" w:rsidRPr="0038086A" w:rsidRDefault="0038086A" w:rsidP="0038086A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iCs/>
          <w:sz w:val="18"/>
          <w:lang w:val="en-US"/>
        </w:rPr>
        <w:t>Strive for unified design regardless of whether the DL/UL resource partition is dynamic or semi-static</w:t>
      </w:r>
    </w:p>
    <w:p w14:paraId="5F35F4B8" w14:textId="77777777" w:rsidR="0038086A" w:rsidRPr="0038086A" w:rsidRDefault="0038086A" w:rsidP="0038086A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iCs/>
          <w:sz w:val="18"/>
          <w:lang w:val="en-US"/>
        </w:rPr>
        <w:t>UE behaviors at least the following are common regardless of whether the DL/UL resource partition is dynamic or semi-static:</w:t>
      </w:r>
    </w:p>
    <w:p w14:paraId="33FA1421" w14:textId="77777777" w:rsidR="0038086A" w:rsidRPr="0038086A" w:rsidRDefault="0038086A" w:rsidP="0038086A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iCs/>
          <w:sz w:val="18"/>
          <w:lang w:val="en-US"/>
        </w:rPr>
        <w:t>Scheduling timing between control to the scheduled data</w:t>
      </w:r>
    </w:p>
    <w:p w14:paraId="1BE3154D" w14:textId="77777777" w:rsidR="0038086A" w:rsidRPr="0038086A" w:rsidRDefault="0038086A" w:rsidP="0038086A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iCs/>
          <w:sz w:val="18"/>
          <w:lang w:val="en-US"/>
        </w:rPr>
        <w:t>HARQ-ACK feedback including timing</w:t>
      </w:r>
    </w:p>
    <w:p w14:paraId="71B4E03E" w14:textId="77777777" w:rsidR="0038086A" w:rsidRPr="0038086A" w:rsidRDefault="0038086A" w:rsidP="0038086A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iCs/>
          <w:sz w:val="18"/>
          <w:lang w:val="en-US"/>
        </w:rPr>
        <w:t>Strive for a limited number of semi-static DL/UL resource partition.</w:t>
      </w:r>
    </w:p>
    <w:p w14:paraId="430BB058" w14:textId="77777777" w:rsidR="0038086A" w:rsidRPr="0038086A" w:rsidRDefault="0038086A" w:rsidP="0038086A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iCs/>
          <w:sz w:val="18"/>
          <w:lang w:val="en-US"/>
        </w:rPr>
        <w:t>NR may include tools motivated by either dynamic or semi-static.</w:t>
      </w:r>
    </w:p>
    <w:p w14:paraId="327909B2" w14:textId="77777777" w:rsidR="0038086A" w:rsidRPr="0038086A" w:rsidRDefault="0038086A" w:rsidP="0038086A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 w:cs="Courier New"/>
          <w:iCs/>
          <w:sz w:val="18"/>
          <w:lang w:val="en-US"/>
        </w:rPr>
      </w:pPr>
      <w:r w:rsidRPr="0038086A">
        <w:rPr>
          <w:rFonts w:ascii="Courier New" w:eastAsia="MS Mincho" w:hAnsi="Courier New" w:cs="Courier New"/>
          <w:iCs/>
          <w:sz w:val="18"/>
          <w:lang w:val="en-US"/>
        </w:rPr>
        <w:t>FFS: UE behavior if there is a conflict between dynamic and semi-static signaling.</w:t>
      </w:r>
    </w:p>
    <w:p w14:paraId="486915E7" w14:textId="77777777" w:rsidR="0038086A" w:rsidRDefault="0038086A" w:rsidP="00A07C4D">
      <w:pPr>
        <w:spacing w:after="0"/>
        <w:jc w:val="both"/>
        <w:rPr>
          <w:rFonts w:eastAsia="MS Mincho"/>
          <w:lang w:val="en-US"/>
        </w:rPr>
      </w:pPr>
    </w:p>
    <w:p w14:paraId="2AB56000" w14:textId="51917F2F" w:rsidR="0038086A" w:rsidRDefault="002157AB" w:rsidP="00A07C4D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UE will derive presence of DL or UL based on detected SSB/RMSI/PRACH and subsequent semi-static signal configurations and grants. </w:t>
      </w:r>
      <w:r w:rsidR="0038086A">
        <w:rPr>
          <w:rFonts w:eastAsia="MS Mincho"/>
          <w:lang w:val="en-US"/>
        </w:rPr>
        <w:t xml:space="preserve">Similarly, the derivation of HARQ timing is the same with or without semi-static DL/UL configuration, as per the agreement above. </w:t>
      </w:r>
    </w:p>
    <w:p w14:paraId="4B0823A9" w14:textId="6A880541" w:rsidR="002157AB" w:rsidRDefault="002157AB" w:rsidP="00A07C4D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Therefore, a </w:t>
      </w:r>
      <w:proofErr w:type="spellStart"/>
      <w:r>
        <w:rPr>
          <w:rFonts w:eastAsia="MS Mincho"/>
          <w:lang w:val="en-US"/>
        </w:rPr>
        <w:t>gNB</w:t>
      </w:r>
      <w:proofErr w:type="spellEnd"/>
      <w:r>
        <w:rPr>
          <w:rFonts w:eastAsia="MS Mincho"/>
          <w:lang w:val="en-US"/>
        </w:rPr>
        <w:t xml:space="preserve"> that does not support dynamic TDD operation can still omit sending cell-specific DL/UL configuration or set it to all ‘Undefined’</w:t>
      </w:r>
      <w:r w:rsidR="00211EBF">
        <w:rPr>
          <w:rFonts w:eastAsia="MS Mincho"/>
          <w:lang w:val="en-US"/>
        </w:rPr>
        <w:t>, without changing any other aspect of its operation,</w:t>
      </w:r>
      <w:r>
        <w:rPr>
          <w:rFonts w:eastAsia="MS Mincho"/>
          <w:lang w:val="en-US"/>
        </w:rPr>
        <w:t xml:space="preserve"> </w:t>
      </w:r>
      <w:proofErr w:type="gramStart"/>
      <w:r>
        <w:rPr>
          <w:rFonts w:eastAsia="MS Mincho"/>
          <w:lang w:val="en-US"/>
        </w:rPr>
        <w:t>in order to</w:t>
      </w:r>
      <w:proofErr w:type="gramEnd"/>
      <w:r>
        <w:rPr>
          <w:rFonts w:eastAsia="MS Mincho"/>
          <w:lang w:val="en-US"/>
        </w:rPr>
        <w:t xml:space="preserve"> perform IoT testing. </w:t>
      </w:r>
    </w:p>
    <w:p w14:paraId="744D4C1F" w14:textId="5D9AE7D6" w:rsidR="001C46EA" w:rsidRDefault="002157AB" w:rsidP="00A07C4D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believe that IoT testing opportunity is crucially important to any mandatory feature, therefore we think that due consideration needs to be given to testing TDD operation without cell-specific DL/UL configuration. However, unless problem is identified with the approach mentioned above, i.e. reusing the same </w:t>
      </w:r>
      <w:proofErr w:type="spellStart"/>
      <w:r>
        <w:rPr>
          <w:rFonts w:eastAsia="MS Mincho"/>
          <w:lang w:val="en-US"/>
        </w:rPr>
        <w:t>gNB</w:t>
      </w:r>
      <w:proofErr w:type="spellEnd"/>
      <w:r>
        <w:rPr>
          <w:rFonts w:eastAsia="MS Mincho"/>
          <w:lang w:val="en-US"/>
        </w:rPr>
        <w:t xml:space="preserve"> setting that uses a semi-static DL/UL configuration for testing but s</w:t>
      </w:r>
      <w:r w:rsidR="00DC55E9">
        <w:rPr>
          <w:rFonts w:eastAsia="MS Mincho"/>
          <w:lang w:val="en-US"/>
        </w:rPr>
        <w:t>ignal</w:t>
      </w:r>
      <w:r>
        <w:rPr>
          <w:rFonts w:eastAsia="MS Mincho"/>
          <w:lang w:val="en-US"/>
        </w:rPr>
        <w:t xml:space="preserve"> all slots as</w:t>
      </w:r>
      <w:r w:rsidR="00DC55E9">
        <w:rPr>
          <w:rFonts w:eastAsia="MS Mincho"/>
          <w:lang w:val="en-US"/>
        </w:rPr>
        <w:t xml:space="preserve"> ‘Undefined’, we think the IoT issue can be solved.  </w:t>
      </w:r>
      <w:r>
        <w:rPr>
          <w:rFonts w:eastAsia="MS Mincho"/>
          <w:lang w:val="en-US"/>
        </w:rPr>
        <w:t xml:space="preserve"> </w:t>
      </w:r>
    </w:p>
    <w:p w14:paraId="02A1DF36" w14:textId="04F65D81" w:rsidR="00DC55E9" w:rsidRDefault="00DC55E9" w:rsidP="00DC55E9">
      <w:pPr>
        <w:spacing w:after="0"/>
        <w:jc w:val="both"/>
        <w:rPr>
          <w:rFonts w:eastAsia="MS Mincho"/>
          <w:lang w:val="en-US"/>
        </w:rPr>
      </w:pPr>
    </w:p>
    <w:p w14:paraId="643285C4" w14:textId="7E9D21B6" w:rsidR="00DC55E9" w:rsidRDefault="00DC55E9" w:rsidP="00DC55E9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light above the above, we make the following proposal: </w:t>
      </w:r>
    </w:p>
    <w:p w14:paraId="1DA37D7B" w14:textId="77777777" w:rsidR="00211EBF" w:rsidRDefault="00211EBF" w:rsidP="00DC55E9">
      <w:pPr>
        <w:spacing w:after="0"/>
        <w:jc w:val="both"/>
        <w:rPr>
          <w:rFonts w:eastAsia="MS Mincho"/>
          <w:b/>
          <w:lang w:val="en-US"/>
        </w:rPr>
      </w:pPr>
    </w:p>
    <w:p w14:paraId="6D2343FE" w14:textId="7F3E8C90" w:rsidR="00DC55E9" w:rsidRPr="00DC55E9" w:rsidRDefault="00DC55E9" w:rsidP="00DC55E9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 xml:space="preserve">Proposal: </w:t>
      </w:r>
    </w:p>
    <w:p w14:paraId="74580A03" w14:textId="7D9D302F" w:rsidR="00DC55E9" w:rsidRPr="00DC55E9" w:rsidRDefault="00DC55E9" w:rsidP="00DC55E9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>Keep Component 7) in Feature 5-1</w:t>
      </w:r>
      <w:r w:rsidR="00C018AB">
        <w:rPr>
          <w:rFonts w:eastAsia="MS Mincho"/>
          <w:b/>
          <w:lang w:val="en-US"/>
        </w:rPr>
        <w:t xml:space="preserve"> unless a problem with TDD operation without cell-specific DL/UL configuration signaling is identified</w:t>
      </w:r>
      <w:r w:rsidRPr="00DC55E9">
        <w:rPr>
          <w:rFonts w:eastAsia="MS Mincho"/>
          <w:b/>
          <w:lang w:val="en-US"/>
        </w:rPr>
        <w:t>.</w:t>
      </w:r>
    </w:p>
    <w:p w14:paraId="0196996D" w14:textId="77777777" w:rsidR="00DC55E9" w:rsidRDefault="00DC55E9" w:rsidP="00DC55E9">
      <w:pPr>
        <w:spacing w:after="0"/>
        <w:jc w:val="both"/>
        <w:rPr>
          <w:rFonts w:eastAsia="MS Mincho"/>
          <w:lang w:val="en-US"/>
        </w:rPr>
      </w:pPr>
    </w:p>
    <w:p w14:paraId="21278A6E" w14:textId="098891DD" w:rsidR="00DC55E9" w:rsidRDefault="00DC55E9" w:rsidP="00DC55E9">
      <w:pPr>
        <w:pStyle w:val="Heading1"/>
        <w:jc w:val="both"/>
      </w:pPr>
      <w:r>
        <w:t>Conclusion</w:t>
      </w:r>
    </w:p>
    <w:p w14:paraId="575085A8" w14:textId="6882DD09" w:rsidR="00DC55E9" w:rsidRDefault="00DC55E9" w:rsidP="00DC55E9">
      <w:pPr>
        <w:rPr>
          <w:lang w:eastAsia="zh-CN"/>
        </w:rPr>
      </w:pPr>
      <w:r>
        <w:rPr>
          <w:lang w:eastAsia="zh-CN"/>
        </w:rPr>
        <w:t>We have made the following proposal regarding the question raised in the RAN1 LS [</w:t>
      </w:r>
      <w:r w:rsidR="00C018AB">
        <w:rPr>
          <w:lang w:eastAsia="zh-CN"/>
        </w:rPr>
        <w:t>3</w:t>
      </w:r>
      <w:r>
        <w:rPr>
          <w:lang w:eastAsia="zh-CN"/>
        </w:rPr>
        <w:t>]</w:t>
      </w:r>
    </w:p>
    <w:p w14:paraId="7CCF5629" w14:textId="77777777" w:rsidR="00DC55E9" w:rsidRPr="00DC55E9" w:rsidRDefault="00DC55E9" w:rsidP="00DC55E9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 xml:space="preserve">Proposal: </w:t>
      </w:r>
    </w:p>
    <w:p w14:paraId="1097197E" w14:textId="632ADCDE" w:rsidR="00DC55E9" w:rsidRPr="00C018AB" w:rsidRDefault="00C018AB" w:rsidP="00C018AB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>Keep Component 7) in Feature 5-1</w:t>
      </w:r>
      <w:r>
        <w:rPr>
          <w:rFonts w:eastAsia="MS Mincho"/>
          <w:b/>
          <w:lang w:val="en-US"/>
        </w:rPr>
        <w:t xml:space="preserve"> unless a problem with TDD operation without cell-specific DL/UL configuration signaling is identified</w:t>
      </w:r>
      <w:r w:rsidRPr="00DC55E9">
        <w:rPr>
          <w:rFonts w:eastAsia="MS Mincho"/>
          <w:b/>
          <w:lang w:val="en-US"/>
        </w:rPr>
        <w:t>.</w:t>
      </w:r>
    </w:p>
    <w:p w14:paraId="76997059" w14:textId="478C0891" w:rsidR="00DC55E9" w:rsidRDefault="00DC55E9" w:rsidP="00A07C4D">
      <w:pPr>
        <w:spacing w:after="0"/>
        <w:jc w:val="both"/>
        <w:rPr>
          <w:rFonts w:eastAsia="MS Mincho"/>
          <w:lang w:val="en-US"/>
        </w:rPr>
      </w:pPr>
    </w:p>
    <w:p w14:paraId="62317B9D" w14:textId="77777777" w:rsidR="00C018AB" w:rsidRDefault="00C018AB" w:rsidP="00A07C4D">
      <w:pPr>
        <w:spacing w:after="0"/>
        <w:jc w:val="both"/>
        <w:rPr>
          <w:rFonts w:eastAsia="MS Mincho"/>
          <w:lang w:val="en-US"/>
        </w:rPr>
      </w:pPr>
    </w:p>
    <w:p w14:paraId="38F922E9" w14:textId="307C8FA6" w:rsidR="00894623" w:rsidRPr="00894623" w:rsidRDefault="00513BAC" w:rsidP="0089462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49A6D2C" w14:textId="2CF6FD09" w:rsidR="00513BAC" w:rsidRDefault="00724625" w:rsidP="00894623">
      <w:pPr>
        <w:pStyle w:val="ListParagraph"/>
        <w:numPr>
          <w:ilvl w:val="0"/>
          <w:numId w:val="36"/>
        </w:numPr>
        <w:ind w:left="360"/>
      </w:pPr>
      <w:r>
        <w:t>“</w:t>
      </w:r>
      <w:r w:rsidRPr="00724625">
        <w:t>RAN1 Chair</w:t>
      </w:r>
      <w:r>
        <w:t>’</w:t>
      </w:r>
      <w:r w:rsidRPr="00724625">
        <w:t>s Notes</w:t>
      </w:r>
      <w:r>
        <w:t>”, RAN1 #93, May 25, 2018</w:t>
      </w:r>
    </w:p>
    <w:p w14:paraId="4CFCB5DA" w14:textId="5AFB447A" w:rsidR="00724625" w:rsidRDefault="00724625" w:rsidP="00894623">
      <w:pPr>
        <w:pStyle w:val="ListParagraph"/>
        <w:numPr>
          <w:ilvl w:val="0"/>
          <w:numId w:val="36"/>
        </w:numPr>
        <w:ind w:left="360"/>
      </w:pPr>
      <w:r w:rsidRPr="00724625">
        <w:t>R1-1807891</w:t>
      </w:r>
      <w:r>
        <w:t>, “</w:t>
      </w:r>
      <w:r w:rsidRPr="00724625">
        <w:t>Updated NR UE features</w:t>
      </w:r>
      <w:r>
        <w:t xml:space="preserve">”, </w:t>
      </w:r>
      <w:r w:rsidRPr="00724625">
        <w:t>NTT DOCOMO, AT&amp;T</w:t>
      </w:r>
    </w:p>
    <w:p w14:paraId="34F217A8" w14:textId="765713B6" w:rsidR="00724625" w:rsidRDefault="00724625" w:rsidP="00894623">
      <w:pPr>
        <w:pStyle w:val="ListParagraph"/>
        <w:numPr>
          <w:ilvl w:val="0"/>
          <w:numId w:val="36"/>
        </w:numPr>
        <w:ind w:left="360"/>
      </w:pPr>
      <w:r w:rsidRPr="00724625">
        <w:t>R1-1807896</w:t>
      </w:r>
      <w:r>
        <w:t>, “</w:t>
      </w:r>
      <w:r w:rsidRPr="00724625">
        <w:t>LS on NR UE feature list</w:t>
      </w:r>
      <w:r>
        <w:t>”, RAN1</w:t>
      </w:r>
    </w:p>
    <w:p w14:paraId="059C2C33" w14:textId="322134D1" w:rsidR="00415B46" w:rsidRDefault="00415B46" w:rsidP="00415B46">
      <w:pPr>
        <w:pStyle w:val="ListParagraph"/>
        <w:numPr>
          <w:ilvl w:val="0"/>
          <w:numId w:val="36"/>
        </w:numPr>
        <w:ind w:left="360"/>
      </w:pPr>
      <w:r w:rsidRPr="00415B46">
        <w:t>R1-1807616</w:t>
      </w:r>
      <w:r>
        <w:t>,</w:t>
      </w:r>
      <w:r w:rsidRPr="00415B46">
        <w:t xml:space="preserve"> </w:t>
      </w:r>
      <w:r>
        <w:t>“</w:t>
      </w:r>
      <w:r w:rsidRPr="00415B46">
        <w:t>NR Features and Capabilities</w:t>
      </w:r>
      <w:r>
        <w:t>”, Qualcomm</w:t>
      </w:r>
    </w:p>
    <w:p w14:paraId="0C417AFF" w14:textId="77777777" w:rsidR="00240584" w:rsidRDefault="00240584" w:rsidP="00B97C19">
      <w:pPr>
        <w:pStyle w:val="ListParagraph"/>
        <w:numPr>
          <w:ilvl w:val="0"/>
          <w:numId w:val="36"/>
        </w:numPr>
        <w:ind w:left="360"/>
      </w:pPr>
      <w:r w:rsidRPr="00240584">
        <w:t>R1-1805897</w:t>
      </w:r>
      <w:r>
        <w:t>, “</w:t>
      </w:r>
      <w:r w:rsidRPr="00240584">
        <w:t>Remaining issues of NR UE features</w:t>
      </w:r>
      <w:r>
        <w:t xml:space="preserve">”, </w:t>
      </w:r>
      <w:r w:rsidRPr="00240584">
        <w:t xml:space="preserve">Huawei, </w:t>
      </w:r>
      <w:proofErr w:type="spellStart"/>
      <w:r w:rsidRPr="00240584">
        <w:t>HiSilicon</w:t>
      </w:r>
      <w:proofErr w:type="spellEnd"/>
    </w:p>
    <w:p w14:paraId="6381B434" w14:textId="77777777" w:rsidR="00B97C19" w:rsidRDefault="00B97C19" w:rsidP="00B97C19">
      <w:pPr>
        <w:pStyle w:val="ListParagraph"/>
        <w:numPr>
          <w:ilvl w:val="0"/>
          <w:numId w:val="36"/>
        </w:numPr>
        <w:ind w:left="360"/>
      </w:pPr>
      <w:r>
        <w:t>R1-1801044, “</w:t>
      </w:r>
      <w:r w:rsidRPr="00B97C19">
        <w:t>Overview on NR UE feature list</w:t>
      </w:r>
      <w:r>
        <w:t xml:space="preserve">”, </w:t>
      </w:r>
      <w:r w:rsidRPr="00B97C19">
        <w:t xml:space="preserve">Huawei, </w:t>
      </w:r>
      <w:proofErr w:type="spellStart"/>
      <w:r w:rsidRPr="00B97C19">
        <w:t>HiSilicon</w:t>
      </w:r>
      <w:proofErr w:type="spellEnd"/>
    </w:p>
    <w:p w14:paraId="02ADE2D4" w14:textId="44E5C477" w:rsidR="00B97C19" w:rsidRDefault="00B97C19" w:rsidP="00B97C19">
      <w:pPr>
        <w:pStyle w:val="ListParagraph"/>
        <w:numPr>
          <w:ilvl w:val="0"/>
          <w:numId w:val="36"/>
        </w:numPr>
        <w:ind w:left="360"/>
      </w:pPr>
      <w:r>
        <w:t>“</w:t>
      </w:r>
      <w:r w:rsidRPr="00724625">
        <w:t>RAN1 Chair</w:t>
      </w:r>
      <w:r>
        <w:t>’</w:t>
      </w:r>
      <w:r w:rsidRPr="00724625">
        <w:t>s Notes</w:t>
      </w:r>
      <w:r>
        <w:t>”, RAN1 #</w:t>
      </w:r>
      <w:r w:rsidR="0038086A">
        <w:t>88bis</w:t>
      </w:r>
      <w:r>
        <w:t xml:space="preserve">, </w:t>
      </w:r>
      <w:r w:rsidR="0038086A">
        <w:t>April</w:t>
      </w:r>
      <w:r>
        <w:t xml:space="preserve"> </w:t>
      </w:r>
      <w:r w:rsidR="0038086A">
        <w:t>7</w:t>
      </w:r>
      <w:r>
        <w:t>, 201</w:t>
      </w:r>
      <w:r w:rsidR="0038086A">
        <w:t>7</w:t>
      </w:r>
    </w:p>
    <w:p w14:paraId="0D7C0DB1" w14:textId="432F16C4" w:rsidR="00240584" w:rsidRPr="00441C68" w:rsidRDefault="00B97C19" w:rsidP="0038086A">
      <w:pPr>
        <w:pStyle w:val="ListParagraph"/>
        <w:numPr>
          <w:ilvl w:val="0"/>
          <w:numId w:val="36"/>
        </w:numPr>
        <w:ind w:left="360"/>
      </w:pPr>
      <w:r w:rsidRPr="00B97C19">
        <w:t>R1-1706775</w:t>
      </w:r>
      <w:r>
        <w:t>,</w:t>
      </w:r>
      <w:r w:rsidRPr="00B97C19">
        <w:t xml:space="preserve"> </w:t>
      </w:r>
      <w:r>
        <w:t>“</w:t>
      </w:r>
      <w:r w:rsidRPr="00B97C19">
        <w:t>WF on TDD Configurations</w:t>
      </w:r>
      <w:r>
        <w:t xml:space="preserve">”, </w:t>
      </w:r>
      <w:r w:rsidRPr="00B97C19">
        <w:t xml:space="preserve">Qualcomm, Ericsson, Nokia  </w:t>
      </w:r>
    </w:p>
    <w:p w14:paraId="1256C51D" w14:textId="77777777" w:rsidR="00513BAC" w:rsidRPr="00A50AA8" w:rsidRDefault="00513BAC" w:rsidP="001C19DF">
      <w:pPr>
        <w:spacing w:after="0"/>
        <w:rPr>
          <w:sz w:val="22"/>
          <w:szCs w:val="22"/>
        </w:rPr>
      </w:pPr>
    </w:p>
    <w:sectPr w:rsidR="00513BAC" w:rsidRPr="00A50AA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5DDFB" w14:textId="77777777" w:rsidR="00CF006E" w:rsidRDefault="00CF006E">
      <w:r>
        <w:separator/>
      </w:r>
    </w:p>
    <w:p w14:paraId="16D1CF63" w14:textId="77777777" w:rsidR="00CF006E" w:rsidRDefault="00CF006E"/>
  </w:endnote>
  <w:endnote w:type="continuationSeparator" w:id="0">
    <w:p w14:paraId="4C258B2C" w14:textId="77777777" w:rsidR="00CF006E" w:rsidRDefault="00CF006E">
      <w:r>
        <w:continuationSeparator/>
      </w:r>
    </w:p>
    <w:p w14:paraId="5758E549" w14:textId="77777777" w:rsidR="00CF006E" w:rsidRDefault="00CF0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2D85AEA" w:rsidR="00B46FB2" w:rsidRDefault="00B46FB2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508E00D" w14:textId="77777777" w:rsidR="00B46FB2" w:rsidRDefault="00B46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8160C" w14:textId="77777777" w:rsidR="00CF006E" w:rsidRDefault="00CF006E">
      <w:r>
        <w:separator/>
      </w:r>
    </w:p>
    <w:p w14:paraId="2A828123" w14:textId="77777777" w:rsidR="00CF006E" w:rsidRDefault="00CF006E"/>
  </w:footnote>
  <w:footnote w:type="continuationSeparator" w:id="0">
    <w:p w14:paraId="13ADC73D" w14:textId="77777777" w:rsidR="00CF006E" w:rsidRDefault="00CF006E">
      <w:r>
        <w:continuationSeparator/>
      </w:r>
    </w:p>
    <w:p w14:paraId="0CC12809" w14:textId="77777777" w:rsidR="00CF006E" w:rsidRDefault="00CF0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B46FB2" w:rsidRDefault="00B46FB2"/>
  <w:p w14:paraId="305600EF" w14:textId="77777777" w:rsidR="00B46FB2" w:rsidRDefault="00B46F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A17AAA"/>
    <w:multiLevelType w:val="hybridMultilevel"/>
    <w:tmpl w:val="E79AA784"/>
    <w:lvl w:ilvl="0" w:tplc="111CA1A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3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E08EC"/>
    <w:multiLevelType w:val="hybridMultilevel"/>
    <w:tmpl w:val="0234C0C6"/>
    <w:lvl w:ilvl="0" w:tplc="1ABE4A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FE852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88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9843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097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FEEC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F09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2A6C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B65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03373"/>
    <w:multiLevelType w:val="hybridMultilevel"/>
    <w:tmpl w:val="2092C5E8"/>
    <w:lvl w:ilvl="0" w:tplc="71205BC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1135A8"/>
    <w:multiLevelType w:val="hybridMultilevel"/>
    <w:tmpl w:val="5B9035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516FD"/>
    <w:multiLevelType w:val="hybridMultilevel"/>
    <w:tmpl w:val="A340575E"/>
    <w:lvl w:ilvl="0" w:tplc="E278B1F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6"/>
  </w:num>
  <w:num w:numId="3">
    <w:abstractNumId w:val="28"/>
  </w:num>
  <w:num w:numId="4">
    <w:abstractNumId w:val="26"/>
  </w:num>
  <w:num w:numId="5">
    <w:abstractNumId w:val="6"/>
  </w:num>
  <w:num w:numId="6">
    <w:abstractNumId w:val="13"/>
  </w:num>
  <w:num w:numId="7">
    <w:abstractNumId w:val="20"/>
  </w:num>
  <w:num w:numId="8">
    <w:abstractNumId w:val="9"/>
  </w:num>
  <w:num w:numId="9">
    <w:abstractNumId w:val="30"/>
  </w:num>
  <w:num w:numId="10">
    <w:abstractNumId w:val="29"/>
  </w:num>
  <w:num w:numId="11">
    <w:abstractNumId w:val="19"/>
  </w:num>
  <w:num w:numId="12">
    <w:abstractNumId w:val="5"/>
  </w:num>
  <w:num w:numId="13">
    <w:abstractNumId w:val="23"/>
  </w:num>
  <w:num w:numId="14">
    <w:abstractNumId w:val="22"/>
  </w:num>
  <w:num w:numId="15">
    <w:abstractNumId w:val="11"/>
  </w:num>
  <w:num w:numId="16">
    <w:abstractNumId w:val="16"/>
  </w:num>
  <w:num w:numId="17">
    <w:abstractNumId w:val="0"/>
  </w:num>
  <w:num w:numId="18">
    <w:abstractNumId w:val="18"/>
  </w:num>
  <w:num w:numId="19">
    <w:abstractNumId w:val="4"/>
  </w:num>
  <w:num w:numId="20">
    <w:abstractNumId w:val="15"/>
  </w:num>
  <w:num w:numId="21">
    <w:abstractNumId w:val="2"/>
  </w:num>
  <w:num w:numId="22">
    <w:abstractNumId w:val="3"/>
  </w:num>
  <w:num w:numId="23">
    <w:abstractNumId w:val="12"/>
  </w:num>
  <w:num w:numId="24">
    <w:abstractNumId w:val="1"/>
  </w:num>
  <w:num w:numId="25">
    <w:abstractNumId w:val="21"/>
  </w:num>
  <w:num w:numId="26">
    <w:abstractNumId w:val="17"/>
  </w:num>
  <w:num w:numId="27">
    <w:abstractNumId w:val="10"/>
  </w:num>
  <w:num w:numId="28">
    <w:abstractNumId w:val="37"/>
  </w:num>
  <w:num w:numId="29">
    <w:abstractNumId w:val="27"/>
  </w:num>
  <w:num w:numId="30">
    <w:abstractNumId w:val="33"/>
  </w:num>
  <w:num w:numId="31">
    <w:abstractNumId w:val="32"/>
  </w:num>
  <w:num w:numId="32">
    <w:abstractNumId w:val="25"/>
  </w:num>
  <w:num w:numId="33">
    <w:abstractNumId w:val="8"/>
  </w:num>
  <w:num w:numId="34">
    <w:abstractNumId w:val="7"/>
  </w:num>
  <w:num w:numId="35">
    <w:abstractNumId w:val="24"/>
  </w:num>
  <w:num w:numId="36">
    <w:abstractNumId w:val="31"/>
  </w:num>
  <w:num w:numId="37">
    <w:abstractNumId w:val="34"/>
  </w:num>
  <w:num w:numId="38">
    <w:abstractNumId w:val="35"/>
  </w:num>
  <w:num w:numId="3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4F2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03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4C87"/>
    <w:rsid w:val="000F55F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6CE"/>
    <w:rsid w:val="001C28D1"/>
    <w:rsid w:val="001C37C6"/>
    <w:rsid w:val="001C4590"/>
    <w:rsid w:val="001C46EA"/>
    <w:rsid w:val="001C67B1"/>
    <w:rsid w:val="001D0660"/>
    <w:rsid w:val="001D0ED3"/>
    <w:rsid w:val="001D1E21"/>
    <w:rsid w:val="001D211A"/>
    <w:rsid w:val="001D32B9"/>
    <w:rsid w:val="001D56D0"/>
    <w:rsid w:val="001E08A2"/>
    <w:rsid w:val="001E2DCD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1EBF"/>
    <w:rsid w:val="002139F8"/>
    <w:rsid w:val="00213E7D"/>
    <w:rsid w:val="00214458"/>
    <w:rsid w:val="002157AB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2D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0584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886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57BD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3C63"/>
    <w:rsid w:val="00375FC8"/>
    <w:rsid w:val="00376B13"/>
    <w:rsid w:val="003802A4"/>
    <w:rsid w:val="0038086A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8BE"/>
    <w:rsid w:val="003B7A52"/>
    <w:rsid w:val="003C0BE9"/>
    <w:rsid w:val="003C5ABA"/>
    <w:rsid w:val="003C6BF8"/>
    <w:rsid w:val="003D020F"/>
    <w:rsid w:val="003D03B0"/>
    <w:rsid w:val="003D1061"/>
    <w:rsid w:val="003D165C"/>
    <w:rsid w:val="003D23CF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5B46"/>
    <w:rsid w:val="004162ED"/>
    <w:rsid w:val="00416ECC"/>
    <w:rsid w:val="00421C94"/>
    <w:rsid w:val="004248E0"/>
    <w:rsid w:val="00424EFD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7DE"/>
    <w:rsid w:val="00445819"/>
    <w:rsid w:val="00445F9C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77997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563"/>
    <w:rsid w:val="00500638"/>
    <w:rsid w:val="00501624"/>
    <w:rsid w:val="00501A9B"/>
    <w:rsid w:val="0050667C"/>
    <w:rsid w:val="0051128C"/>
    <w:rsid w:val="00512760"/>
    <w:rsid w:val="0051290A"/>
    <w:rsid w:val="00512B3C"/>
    <w:rsid w:val="00513BA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669FB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3B10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9D4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BC5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4625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392F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319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28D"/>
    <w:rsid w:val="008326C1"/>
    <w:rsid w:val="00832C72"/>
    <w:rsid w:val="00832C9A"/>
    <w:rsid w:val="0083551F"/>
    <w:rsid w:val="008362B2"/>
    <w:rsid w:val="0083729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1EA6"/>
    <w:rsid w:val="00883E2A"/>
    <w:rsid w:val="00884758"/>
    <w:rsid w:val="008868A4"/>
    <w:rsid w:val="00887393"/>
    <w:rsid w:val="008927A9"/>
    <w:rsid w:val="00894623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233A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2606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07C4D"/>
    <w:rsid w:val="00A1097E"/>
    <w:rsid w:val="00A11082"/>
    <w:rsid w:val="00A129F5"/>
    <w:rsid w:val="00A16754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3636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6A25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6FB2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97C19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8C8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18AB"/>
    <w:rsid w:val="00C0278A"/>
    <w:rsid w:val="00C02ABE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006E"/>
    <w:rsid w:val="00CF103F"/>
    <w:rsid w:val="00CF3C3C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6A9D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55E9"/>
    <w:rsid w:val="00DC6926"/>
    <w:rsid w:val="00DC744A"/>
    <w:rsid w:val="00DD05EF"/>
    <w:rsid w:val="00DD2241"/>
    <w:rsid w:val="00DD3043"/>
    <w:rsid w:val="00DD4F99"/>
    <w:rsid w:val="00DD5160"/>
    <w:rsid w:val="00DD7F99"/>
    <w:rsid w:val="00DE1AB8"/>
    <w:rsid w:val="00DE22A8"/>
    <w:rsid w:val="00DE69B3"/>
    <w:rsid w:val="00DF04C6"/>
    <w:rsid w:val="00DF1735"/>
    <w:rsid w:val="00DF38D0"/>
    <w:rsid w:val="00DF5222"/>
    <w:rsid w:val="00DF577A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14D9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2CF1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1D4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669F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03092C-1FE7-4DA1-822D-115A089B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4475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38</cp:revision>
  <cp:lastPrinted>2003-09-26T18:29:00Z</cp:lastPrinted>
  <dcterms:created xsi:type="dcterms:W3CDTF">2017-11-28T23:11:00Z</dcterms:created>
  <dcterms:modified xsi:type="dcterms:W3CDTF">2018-06-04T20:38:00Z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